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453274E6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bookmarkStart w:id="4" w:name="_GoBack"/>
      <w:bookmarkEnd w:id="4"/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C749EF">
        <w:rPr>
          <w:rFonts w:cs="Arial"/>
          <w:b/>
          <w:sz w:val="22"/>
          <w:szCs w:val="22"/>
          <w:lang w:val="en-US"/>
        </w:rPr>
        <w:t>7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564D51" w:rsidRPr="00564D51">
        <w:rPr>
          <w:rFonts w:cs="Arial"/>
          <w:b/>
          <w:i/>
          <w:sz w:val="22"/>
          <w:szCs w:val="22"/>
          <w:lang w:val="en-US" w:eastAsia="zh-CN"/>
        </w:rPr>
        <w:t>R2-2202196</w:t>
      </w:r>
    </w:p>
    <w:p w14:paraId="540B9A86" w14:textId="7CD28ACE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564D51">
        <w:rPr>
          <w:rFonts w:cs="Arial"/>
          <w:b/>
          <w:sz w:val="22"/>
          <w:szCs w:val="22"/>
          <w:lang w:val="en-US"/>
        </w:rPr>
        <w:t>February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1ACF107D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564D51">
        <w:rPr>
          <w:sz w:val="22"/>
          <w:szCs w:val="22"/>
          <w:highlight w:val="yellow"/>
        </w:rPr>
        <w:t>6.2.1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613346C5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B76A2">
        <w:rPr>
          <w:sz w:val="22"/>
          <w:szCs w:val="22"/>
        </w:rPr>
        <w:t xml:space="preserve">Discussion on RAN4 LS on </w:t>
      </w:r>
      <w:r w:rsidR="00724516">
        <w:rPr>
          <w:sz w:val="22"/>
          <w:szCs w:val="22"/>
        </w:rPr>
        <w:t>power class capability</w:t>
      </w:r>
      <w:r w:rsidR="007B76A2">
        <w:rPr>
          <w:sz w:val="22"/>
          <w:szCs w:val="22"/>
        </w:rPr>
        <w:t xml:space="preserve"> (</w:t>
      </w:r>
      <w:r w:rsidR="00724516" w:rsidRPr="00724516">
        <w:rPr>
          <w:sz w:val="22"/>
          <w:szCs w:val="22"/>
        </w:rPr>
        <w:t>R4-2119992</w:t>
      </w:r>
      <w:r w:rsidR="007B76A2">
        <w:rPr>
          <w:sz w:val="22"/>
          <w:szCs w:val="22"/>
        </w:rPr>
        <w:t>)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5" w:name="_Ref488331639"/>
      <w:r>
        <w:t>Introduction</w:t>
      </w:r>
      <w:bookmarkEnd w:id="5"/>
    </w:p>
    <w:p w14:paraId="0C974B52" w14:textId="3888EE73" w:rsidR="002D485A" w:rsidRPr="0029477E" w:rsidRDefault="00D0573B" w:rsidP="0029477E">
      <w:pPr>
        <w:pStyle w:val="ac"/>
        <w:spacing w:before="120"/>
      </w:pPr>
      <w:r>
        <w:rPr>
          <w:rFonts w:cs="Arial"/>
        </w:rPr>
        <w:t xml:space="preserve">This is </w:t>
      </w:r>
      <w:bookmarkStart w:id="6" w:name="_Ref178064866"/>
      <w:r w:rsidR="003264B4">
        <w:rPr>
          <w:rFonts w:cs="Arial"/>
        </w:rPr>
        <w:t xml:space="preserve">to discuss the issue </w:t>
      </w:r>
      <w:r w:rsidR="007B76A2">
        <w:rPr>
          <w:rFonts w:cs="Arial"/>
        </w:rPr>
        <w:t xml:space="preserve">in R4 LS </w:t>
      </w:r>
      <w:r w:rsidR="00724516" w:rsidRPr="00724516">
        <w:rPr>
          <w:rFonts w:cs="Arial"/>
        </w:rPr>
        <w:t>R4-2119992</w:t>
      </w:r>
      <w:r w:rsidR="0029477E">
        <w:rPr>
          <w:rFonts w:cs="Arial"/>
        </w:rPr>
        <w:t>.</w:t>
      </w:r>
    </w:p>
    <w:bookmarkEnd w:id="6"/>
    <w:p w14:paraId="23312DF5" w14:textId="4D4E33A7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4C2075E5" w14:textId="208DDA17" w:rsidR="007B76A2" w:rsidRDefault="00724516" w:rsidP="007B76A2">
      <w:pPr>
        <w:pStyle w:val="2"/>
      </w:pPr>
      <w:r>
        <w:t>Capability-1</w:t>
      </w:r>
    </w:p>
    <w:p w14:paraId="16978715" w14:textId="791220D5" w:rsidR="007B76A2" w:rsidRDefault="007B76A2" w:rsidP="007B76A2">
      <w:r>
        <w:rPr>
          <w:rFonts w:hint="eastAsia"/>
        </w:rPr>
        <w:t>I</w:t>
      </w:r>
      <w:r>
        <w:t>n the LS, issue-1 is as follows</w:t>
      </w:r>
    </w:p>
    <w:p w14:paraId="694914FE" w14:textId="77777777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t xml:space="preserve">1, NR V2X power class per band capability.  </w:t>
      </w:r>
    </w:p>
    <w:p w14:paraId="15DB3B6D" w14:textId="12234354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t>[…]</w:t>
      </w:r>
    </w:p>
    <w:p w14:paraId="1683789A" w14:textId="77777777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t xml:space="preserve">For the NR V2X power class per band capability, it has been agreed that at least PC2 and PC3 should be covered since Rel-16. </w:t>
      </w:r>
    </w:p>
    <w:p w14:paraId="6F4C9D63" w14:textId="77777777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t>The PC3 Requirements for NR-V2X have been defined in Rel-16. While the PC2 requirements for NR-V2X are specified in Rel-17, RAN4 has agreed that PC2 HPUE for NR-V2X is a Rel-16 leftover issue, therefore, the PC2 power class should be supported from Rel-16.</w:t>
      </w:r>
    </w:p>
    <w:p w14:paraId="4A919DAE" w14:textId="3A209657" w:rsidR="007B76A2" w:rsidRDefault="00724516" w:rsidP="007B76A2">
      <w:pPr>
        <w:rPr>
          <w:lang w:val="en-US"/>
        </w:rPr>
      </w:pPr>
      <w:r>
        <w:rPr>
          <w:lang w:val="en-US"/>
        </w:rPr>
        <w:t xml:space="preserve">The request is clear, </w:t>
      </w:r>
      <w:r w:rsidR="00564D51">
        <w:rPr>
          <w:lang w:val="en-US"/>
        </w:rPr>
        <w:t>i.e.</w:t>
      </w:r>
      <w:r>
        <w:rPr>
          <w:lang w:val="en-US"/>
        </w:rPr>
        <w:t>, to introduce a per-band capability for the newly introduced PC2.</w:t>
      </w:r>
    </w:p>
    <w:p w14:paraId="77236AC4" w14:textId="62834C41" w:rsidR="00724516" w:rsidRDefault="00724516" w:rsidP="007B76A2"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he only point to further discuss is whether this capability is to apply for PC5-RRC signaling as well, or only Uu-RRC signaling. According to our R4 colleague, R4 only discussed the need of Uu-RRC yet did not consider PC5-RRC signaling. </w:t>
      </w:r>
    </w:p>
    <w:p w14:paraId="62113F97" w14:textId="64F1DD64" w:rsidR="00724516" w:rsidRDefault="00724516" w:rsidP="007B76A2">
      <w:pPr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onsidering that the Tx power information does not help Rx UE behavior, our view is that is not applicable to PC5-RRC signaling.</w:t>
      </w:r>
    </w:p>
    <w:p w14:paraId="25339325" w14:textId="28E07244" w:rsidR="007B76A2" w:rsidRPr="00E527FA" w:rsidRDefault="007B76A2" w:rsidP="007B76A2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95729705"/>
      <w:r>
        <w:t xml:space="preserve">For </w:t>
      </w:r>
      <w:r w:rsidR="00724516">
        <w:t>per-band capability for PC2, introduce that into Uu-RRC signalling, but not PC5-RRC signalling. If R2 cannot reach consensus on the need of PC5-RRC signalling, ask R4 using LS.</w:t>
      </w:r>
      <w:bookmarkEnd w:id="7"/>
    </w:p>
    <w:p w14:paraId="38A1E732" w14:textId="6C786640" w:rsidR="00724516" w:rsidRDefault="00724516" w:rsidP="00724516">
      <w:pPr>
        <w:pStyle w:val="2"/>
      </w:pPr>
      <w:r>
        <w:t>Capability-2</w:t>
      </w:r>
    </w:p>
    <w:p w14:paraId="3CB69C3C" w14:textId="134ED575" w:rsidR="004B4ECD" w:rsidRDefault="004B4ECD" w:rsidP="007B76A2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the LS, issue-2 is as follows</w:t>
      </w:r>
    </w:p>
    <w:p w14:paraId="5CF81D18" w14:textId="77777777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t>2, NR V2X intra-band concurrent operation power class capability per band combination</w:t>
      </w:r>
    </w:p>
    <w:p w14:paraId="191FD9B9" w14:textId="028E54EA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t>[…]</w:t>
      </w:r>
    </w:p>
    <w:p w14:paraId="20AC7EDD" w14:textId="65018150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t xml:space="preserve">For the NR V2X intra-band concurrent operation power class capability, it has been agreed that to define the per band combination power class capability </w:t>
      </w:r>
      <w:r w:rsidR="00564D51" w:rsidRPr="00724516">
        <w:rPr>
          <w:lang w:val="en-US"/>
        </w:rPr>
        <w:t>signaling</w:t>
      </w:r>
      <w:r w:rsidRPr="00724516">
        <w:rPr>
          <w:lang w:val="en-US"/>
        </w:rPr>
        <w:t xml:space="preserve"> for NR V2X intra-band concurrent operation of the combined power class of that band combination . </w:t>
      </w:r>
    </w:p>
    <w:p w14:paraId="2EE1616E" w14:textId="072877A7" w:rsidR="00724516" w:rsidRPr="00724516" w:rsidRDefault="00724516" w:rsidP="00724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24516">
        <w:rPr>
          <w:lang w:val="en-US"/>
        </w:rPr>
        <w:lastRenderedPageBreak/>
        <w:t>It was agreed in RAN4 that UE could have separate RF chains to support Uu and SL for a UE in the same band, e.g. n79. Based on that, it is possible that different power classes could be supported by Uu and SL for a NR band. Thus, the per band power class for Uu cannot be reused for NR SL for the same band.</w:t>
      </w:r>
    </w:p>
    <w:p w14:paraId="586596FC" w14:textId="4A15C9F8" w:rsidR="00D758C5" w:rsidRDefault="00D758C5" w:rsidP="00724516">
      <w:r>
        <w:rPr>
          <w:rFonts w:hint="eastAsia"/>
        </w:rPr>
        <w:t>T</w:t>
      </w:r>
      <w:r>
        <w:t>he only point to debate is the how to understand the “</w:t>
      </w:r>
      <w:r w:rsidRPr="00724516">
        <w:rPr>
          <w:lang w:val="en-US"/>
        </w:rPr>
        <w:t>per band combination</w:t>
      </w:r>
      <w:r>
        <w:t>” requirement</w:t>
      </w:r>
      <w:r>
        <w:rPr>
          <w:rFonts w:hint="eastAsia"/>
        </w:rPr>
        <w:t>,</w:t>
      </w:r>
      <w:r>
        <w:t xml:space="preserve"> which can be either 1) per PC5 BC, or 2) per combination of Uu-BC and PC5-BC.</w:t>
      </w:r>
    </w:p>
    <w:p w14:paraId="40F20F9A" w14:textId="1A7F107D" w:rsidR="00745B87" w:rsidRPr="00745B87" w:rsidRDefault="00745B87" w:rsidP="00724516">
      <w:r>
        <w:t xml:space="preserve">In R4, for R16, there is no CA case for PC5-only transmission, i.e., the LS aims at the concurrent transmission of Uu and PC5, where PC5 is limited to single-CC scenario. So it aims at case 2) but not case 1) </w:t>
      </w:r>
    </w:p>
    <w:p w14:paraId="086A5F38" w14:textId="2F2BE3F4" w:rsidR="00D758C5" w:rsidRDefault="00D758C5" w:rsidP="00724516">
      <w:r>
        <w:rPr>
          <w:rFonts w:hint="eastAsia"/>
        </w:rPr>
        <w:t>A</w:t>
      </w:r>
      <w:r>
        <w:t>nd similar to per-band capability above, there is no need for PC5-RRC signalling.</w:t>
      </w:r>
    </w:p>
    <w:p w14:paraId="633E7321" w14:textId="08A75C60" w:rsidR="00D758C5" w:rsidRDefault="00D758C5" w:rsidP="00D758C5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95729706"/>
      <w:r>
        <w:rPr>
          <w:rFonts w:hint="eastAsia"/>
        </w:rPr>
        <w:t>F</w:t>
      </w:r>
      <w:r>
        <w:t>or per-BC capability for PC2, introduce that into Uu-RRC signalling as per-combination-of-U</w:t>
      </w:r>
      <w:r>
        <w:rPr>
          <w:rFonts w:hint="eastAsia"/>
        </w:rPr>
        <w:t>u-</w:t>
      </w:r>
      <w:r>
        <w:t xml:space="preserve">BC-and-PC5-BC, but not PC5-RRC signalling. If R2 cannot reach consensus on the </w:t>
      </w:r>
      <w:r w:rsidR="00E57A93">
        <w:t xml:space="preserve">signalling granularity or the </w:t>
      </w:r>
      <w:r>
        <w:t>need of PC5-RRC signalling, ask R4 using LS.</w:t>
      </w:r>
      <w:bookmarkEnd w:id="8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437D37C3" w14:textId="7F03F4D9" w:rsidR="00E57A93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95729705" w:history="1">
        <w:r w:rsidR="00E57A93" w:rsidRPr="00E82694">
          <w:rPr>
            <w:rStyle w:val="a5"/>
            <w:noProof/>
          </w:rPr>
          <w:t>Proposal 1</w:t>
        </w:r>
        <w:r w:rsidR="00E57A9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57A93" w:rsidRPr="00E82694">
          <w:rPr>
            <w:rStyle w:val="a5"/>
            <w:noProof/>
          </w:rPr>
          <w:t>For per-band capability for PC2, introduce that into Uu-RRC signalling, but not PC5-RRC signalling. If R2 cannot reach consensus on the need of PC5-RRC signalling, ask R4 using LS.</w:t>
        </w:r>
      </w:hyperlink>
    </w:p>
    <w:p w14:paraId="35D10ECE" w14:textId="6CAE1A5C" w:rsidR="00E57A93" w:rsidRDefault="00E57A9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5729706" w:history="1">
        <w:r w:rsidRPr="00E82694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82694">
          <w:rPr>
            <w:rStyle w:val="a5"/>
            <w:noProof/>
          </w:rPr>
          <w:t>For per-BC capability for PC2, introduce that into Uu-RRC signalling as per-combination-of-Uu-BC-and-PC5-BC, but not PC5-RRC signalling. If R2 cannot reach consensus on the signalling granularity or the need of PC5-RRC signalling, ask R4 using LS.</w:t>
        </w:r>
      </w:hyperlink>
    </w:p>
    <w:p w14:paraId="3BAB227A" w14:textId="4D5B529D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9" w:name="_In-sequence_SDU_delivery"/>
      <w:bookmarkStart w:id="10" w:name="_Ref189809556"/>
      <w:bookmarkStart w:id="11" w:name="_Ref174151459"/>
      <w:bookmarkStart w:id="12" w:name="_Ref450865335"/>
      <w:bookmarkEnd w:id="9"/>
      <w:r>
        <w:rPr>
          <w:rFonts w:hint="eastAsia"/>
        </w:rPr>
        <w:t>Reference</w:t>
      </w:r>
      <w:bookmarkEnd w:id="10"/>
      <w:bookmarkEnd w:id="11"/>
      <w:bookmarkEnd w:id="12"/>
    </w:p>
    <w:p w14:paraId="1D07AD88" w14:textId="4DEB6500" w:rsidR="00D0573B" w:rsidRPr="00D758C5" w:rsidRDefault="00D758C5" w:rsidP="00F461BF">
      <w:pPr>
        <w:pStyle w:val="af7"/>
        <w:numPr>
          <w:ilvl w:val="0"/>
          <w:numId w:val="25"/>
        </w:numPr>
        <w:rPr>
          <w:lang w:val="en-US"/>
        </w:rPr>
      </w:pPr>
      <w:r w:rsidRPr="00D758C5">
        <w:rPr>
          <w:lang w:val="en-US"/>
        </w:rPr>
        <w:t xml:space="preserve">R4-2119992, LS on </w:t>
      </w:r>
      <w:r w:rsidR="00564D51" w:rsidRPr="00D758C5">
        <w:rPr>
          <w:lang w:val="en-US"/>
        </w:rPr>
        <w:t>Signaling</w:t>
      </w:r>
      <w:r w:rsidRPr="00D758C5">
        <w:rPr>
          <w:lang w:val="en-US"/>
        </w:rPr>
        <w:t xml:space="preserve"> of PC2 V2X intra-band concurrent operation, 5G_V2X_NRSL-Core</w:t>
      </w:r>
    </w:p>
    <w:sectPr w:rsidR="00D0573B" w:rsidRPr="00D758C5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A0C78" w14:textId="77777777" w:rsidR="00713852" w:rsidRDefault="00713852">
      <w:pPr>
        <w:spacing w:after="0"/>
      </w:pPr>
      <w:r>
        <w:separator/>
      </w:r>
    </w:p>
  </w:endnote>
  <w:endnote w:type="continuationSeparator" w:id="0">
    <w:p w14:paraId="22677E19" w14:textId="77777777" w:rsidR="00713852" w:rsidRDefault="007138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F655C" w14:textId="77777777" w:rsidR="00713852" w:rsidRDefault="00713852">
      <w:pPr>
        <w:spacing w:after="0"/>
      </w:pPr>
      <w:r>
        <w:separator/>
      </w:r>
    </w:p>
  </w:footnote>
  <w:footnote w:type="continuationSeparator" w:id="0">
    <w:p w14:paraId="2860C084" w14:textId="77777777" w:rsidR="00713852" w:rsidRDefault="007138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12"/>
  </w:num>
  <w:num w:numId="9">
    <w:abstractNumId w:val="20"/>
  </w:num>
  <w:num w:numId="10">
    <w:abstractNumId w:val="13"/>
  </w:num>
  <w:num w:numId="11">
    <w:abstractNumId w:val="19"/>
  </w:num>
  <w:num w:numId="12">
    <w:abstractNumId w:val="11"/>
  </w:num>
  <w:num w:numId="13">
    <w:abstractNumId w:val="16"/>
  </w:num>
  <w:num w:numId="14">
    <w:abstractNumId w:val="17"/>
  </w:num>
  <w:num w:numId="15">
    <w:abstractNumId w:val="2"/>
  </w:num>
  <w:num w:numId="16">
    <w:abstractNumId w:val="14"/>
  </w:num>
  <w:num w:numId="17">
    <w:abstractNumId w:val="0"/>
  </w:num>
  <w:num w:numId="18">
    <w:abstractNumId w:val="0"/>
  </w:num>
  <w:num w:numId="19">
    <w:abstractNumId w:val="18"/>
  </w:num>
  <w:num w:numId="20">
    <w:abstractNumId w:val="9"/>
  </w:num>
  <w:num w:numId="21">
    <w:abstractNumId w:val="0"/>
  </w:num>
  <w:num w:numId="22">
    <w:abstractNumId w:val="0"/>
  </w:num>
  <w:num w:numId="23">
    <w:abstractNumId w:val="0"/>
  </w:num>
  <w:num w:numId="24">
    <w:abstractNumId w:val="1"/>
  </w:num>
  <w:num w:numId="25">
    <w:abstractNumId w:val="10"/>
  </w:num>
  <w:num w:numId="26">
    <w:abstractNumId w:val="0"/>
  </w:num>
  <w:num w:numId="27">
    <w:abstractNumId w:val="0"/>
  </w:num>
  <w:num w:numId="28">
    <w:abstractNumId w:val="0"/>
  </w:num>
  <w:num w:numId="29">
    <w:abstractNumId w:val="5"/>
  </w:num>
  <w:num w:numId="3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sFAClznn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6F0FDE-FE48-410F-BF69-F1A9B1877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3497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2</cp:revision>
  <cp:lastPrinted>2008-01-31T16:09:00Z</cp:lastPrinted>
  <dcterms:created xsi:type="dcterms:W3CDTF">2022-02-14T03:15:00Z</dcterms:created>
  <dcterms:modified xsi:type="dcterms:W3CDTF">2022-02-14T03:15:00Z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